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  <w:r>
        <w:drawing>
          <wp:inline xmlns:a="http://schemas.openxmlformats.org/drawingml/2006/main" xmlns:pic="http://schemas.openxmlformats.org/drawingml/2006/picture">
            <wp:extent cx="1554480" cy="399611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IPS_Logo_New - All Black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54480" cy="39961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0"/>
      </w:pPr>
      <w:r>
        <w:rPr>
          <w:rFonts w:ascii="Calibri" w:hAnsi="Calibri"/>
          <w:b/>
          <w:i w:val="0"/>
          <w:color w:val="1A1A1A"/>
          <w:sz w:val="40"/>
        </w:rPr>
        <w:t>Voice, Security &amp; Paging RFP Requirements Template</w:t>
      </w:r>
    </w:p>
    <w:p>
      <w:pPr>
        <w:spacing w:before="40" w:after="160"/>
        <w:pBdr>
          <w:bottom w:val="single" w:sz="12" w:color="F39C12"/>
        </w:pBdr>
      </w:pPr>
    </w:p>
    <w:p>
      <w:pPr>
        <w:spacing w:after="120" w:before="0"/>
      </w:pPr>
      <w:r>
        <w:rPr>
          <w:rFonts w:ascii="Calibri" w:hAnsi="Calibri"/>
          <w:b w:val="0"/>
          <w:i w:val="0"/>
          <w:color w:val="2D2E32"/>
          <w:sz w:val="22"/>
        </w:rPr>
        <w:t>A starting framework for school districts, city and county government, and multi-site organizations scoping a request for proposal that covers phone systems, paging and mass notification, and physical security on one project. Edit the bracketed prompts to fit your organization, then publish.</w:t>
      </w:r>
    </w:p>
    <w:p>
      <w:pPr>
        <w:spacing w:after="120" w:before="0"/>
      </w:pPr>
      <w:r>
        <w:rPr>
          <w:rFonts w:ascii="Calibri" w:hAnsi="Calibri"/>
          <w:b w:val="0"/>
          <w:i w:val="0"/>
          <w:color w:val="2D2E32"/>
          <w:sz w:val="22"/>
        </w:rPr>
        <w:t>Prepared by True IP Solutions. Use freely, edit it, and publish the result as your own.</w:t>
      </w:r>
    </w:p>
    <w:p>
      <w:pPr>
        <w:spacing w:after="100" w:before="280"/>
      </w:pPr>
      <w:r>
        <w:rPr>
          <w:rFonts w:ascii="Calibri" w:hAnsi="Calibri"/>
          <w:b/>
          <w:i w:val="0"/>
          <w:color w:val="1A1A1A"/>
          <w:sz w:val="28"/>
        </w:rPr>
        <w:t>1. Instructions to vendors</w:t>
      </w:r>
    </w:p>
    <w:p>
      <w:pPr>
        <w:pStyle w:val="ListBullet"/>
        <w:spacing w:after="60" w:before="0"/>
      </w:pPr>
      <w:r>
        <w:rPr>
          <w:rFonts w:ascii="Calibri" w:hAnsi="Calibri"/>
          <w:b w:val="0"/>
          <w:i w:val="0"/>
          <w:color w:val="2D2E32"/>
          <w:sz w:val="22"/>
        </w:rPr>
        <w:t xml:space="preserve">Submission deadline, format, and delivery method: </w:t>
      </w:r>
      <w:r>
        <w:rPr>
          <w:rFonts w:ascii="Calibri" w:hAnsi="Calibri"/>
          <w:b w:val="0"/>
          <w:i/>
          <w:color w:val="3B3B3B"/>
          <w:sz w:val="22"/>
        </w:rPr>
        <w:t>[date / portal / email]</w:t>
      </w:r>
    </w:p>
    <w:p>
      <w:pPr>
        <w:pStyle w:val="ListBullet"/>
        <w:spacing w:after="60" w:before="0"/>
      </w:pPr>
      <w:r>
        <w:rPr>
          <w:rFonts w:ascii="Calibri" w:hAnsi="Calibri"/>
          <w:b w:val="0"/>
          <w:i w:val="0"/>
          <w:color w:val="2D2E32"/>
          <w:sz w:val="22"/>
        </w:rPr>
        <w:t xml:space="preserve">Questions deadline and point of contact: </w:t>
      </w:r>
      <w:r>
        <w:rPr>
          <w:rFonts w:ascii="Calibri" w:hAnsi="Calibri"/>
          <w:b w:val="0"/>
          <w:i/>
          <w:color w:val="3B3B3B"/>
          <w:sz w:val="22"/>
        </w:rPr>
        <w:t>[name, email, phone]</w:t>
      </w:r>
    </w:p>
    <w:p>
      <w:pPr>
        <w:pStyle w:val="ListBullet"/>
        <w:spacing w:after="60" w:before="0"/>
      </w:pPr>
      <w:r>
        <w:rPr>
          <w:rFonts w:ascii="Calibri" w:hAnsi="Calibri"/>
          <w:b w:val="0"/>
          <w:i w:val="0"/>
          <w:color w:val="2D2E32"/>
          <w:sz w:val="22"/>
        </w:rPr>
        <w:t xml:space="preserve">Site walk or pre-bid meeting: </w:t>
      </w:r>
      <w:r>
        <w:rPr>
          <w:rFonts w:ascii="Calibri" w:hAnsi="Calibri"/>
          <w:b w:val="0"/>
          <w:i/>
          <w:color w:val="3B3B3B"/>
          <w:sz w:val="22"/>
        </w:rPr>
        <w:t>[date and location, or "by appointment"]</w:t>
      </w:r>
    </w:p>
    <w:p>
      <w:pPr>
        <w:pStyle w:val="ListBullet"/>
        <w:spacing w:after="60" w:before="0"/>
      </w:pPr>
      <w:r>
        <w:rPr>
          <w:rFonts w:ascii="Calibri" w:hAnsi="Calibri"/>
          <w:b w:val="0"/>
          <w:i w:val="0"/>
          <w:color w:val="2D2E32"/>
          <w:sz w:val="22"/>
        </w:rPr>
        <w:t xml:space="preserve">Cooperative purchasing agreements accepted: </w:t>
      </w:r>
      <w:r>
        <w:rPr>
          <w:rFonts w:ascii="Calibri" w:hAnsi="Calibri"/>
          <w:b w:val="0"/>
          <w:i/>
          <w:color w:val="3B3B3B"/>
          <w:sz w:val="22"/>
        </w:rPr>
        <w:t>[e.g., TIPS, Sourcewell, state contract]</w:t>
      </w:r>
      <w:r>
        <w:rPr>
          <w:rFonts w:ascii="Calibri" w:hAnsi="Calibri"/>
          <w:b w:val="0"/>
          <w:i w:val="0"/>
          <w:color w:val="2D2E32"/>
          <w:sz w:val="22"/>
        </w:rPr>
        <w:t>, if any</w:t>
      </w:r>
    </w:p>
    <w:p>
      <w:pPr>
        <w:spacing w:after="100" w:before="280"/>
      </w:pPr>
      <w:r>
        <w:rPr>
          <w:rFonts w:ascii="Calibri" w:hAnsi="Calibri"/>
          <w:b/>
          <w:i w:val="0"/>
          <w:color w:val="1A1A1A"/>
          <w:sz w:val="28"/>
        </w:rPr>
        <w:t>2. Organization overview</w:t>
      </w:r>
    </w:p>
    <w:p>
      <w:pPr>
        <w:pStyle w:val="ListBullet"/>
        <w:spacing w:after="60" w:before="0"/>
      </w:pPr>
      <w:r>
        <w:rPr>
          <w:rFonts w:ascii="Calibri" w:hAnsi="Calibri"/>
          <w:b w:val="0"/>
          <w:i w:val="0"/>
          <w:color w:val="2D2E32"/>
          <w:sz w:val="22"/>
        </w:rPr>
        <w:t xml:space="preserve">Type of organization and number of sites/buildings: </w:t>
      </w:r>
      <w:r>
        <w:rPr>
          <w:rFonts w:ascii="Calibri" w:hAnsi="Calibri"/>
          <w:b w:val="0"/>
          <w:i/>
          <w:color w:val="3B3B3B"/>
          <w:sz w:val="22"/>
        </w:rPr>
        <w:t>[ ]</w:t>
      </w:r>
    </w:p>
    <w:p>
      <w:pPr>
        <w:pStyle w:val="ListBullet"/>
        <w:spacing w:after="60" w:before="0"/>
      </w:pPr>
      <w:r>
        <w:rPr>
          <w:rFonts w:ascii="Calibri" w:hAnsi="Calibri"/>
          <w:b w:val="0"/>
          <w:i w:val="0"/>
          <w:color w:val="2D2E32"/>
          <w:sz w:val="22"/>
        </w:rPr>
        <w:t xml:space="preserve">Approximate user/extension count and seasonal call patterns: </w:t>
      </w:r>
      <w:r>
        <w:rPr>
          <w:rFonts w:ascii="Calibri" w:hAnsi="Calibri"/>
          <w:b w:val="0"/>
          <w:i/>
          <w:color w:val="3B3B3B"/>
          <w:sz w:val="22"/>
        </w:rPr>
        <w:t>[ ]</w:t>
      </w:r>
    </w:p>
    <w:p>
      <w:pPr>
        <w:pStyle w:val="ListBullet"/>
        <w:spacing w:after="60" w:before="0"/>
      </w:pPr>
      <w:r>
        <w:rPr>
          <w:rFonts w:ascii="Calibri" w:hAnsi="Calibri"/>
          <w:b w:val="0"/>
          <w:i w:val="0"/>
          <w:color w:val="2D2E32"/>
          <w:sz w:val="22"/>
        </w:rPr>
        <w:t xml:space="preserve">Systems in place today and their age: </w:t>
      </w:r>
      <w:r>
        <w:rPr>
          <w:rFonts w:ascii="Calibri" w:hAnsi="Calibri"/>
          <w:b w:val="0"/>
          <w:i/>
          <w:color w:val="3B3B3B"/>
          <w:sz w:val="22"/>
        </w:rPr>
        <w:t>[phones, paging, cameras, access, cabling]</w:t>
      </w:r>
    </w:p>
    <w:p>
      <w:pPr>
        <w:pStyle w:val="ListBullet"/>
        <w:spacing w:after="60" w:before="0"/>
      </w:pPr>
      <w:r>
        <w:rPr>
          <w:rFonts w:ascii="Calibri" w:hAnsi="Calibri"/>
          <w:b w:val="0"/>
          <w:i w:val="0"/>
          <w:color w:val="2D2E32"/>
          <w:sz w:val="22"/>
        </w:rPr>
        <w:t xml:space="preserve">What is driving this project: </w:t>
      </w:r>
      <w:r>
        <w:rPr>
          <w:rFonts w:ascii="Calibri" w:hAnsi="Calibri"/>
          <w:b w:val="0"/>
          <w:i/>
          <w:color w:val="3B3B3B"/>
          <w:sz w:val="22"/>
        </w:rPr>
        <w:t>[end of life, cost, reliability, compliance, consolidation]</w:t>
      </w:r>
    </w:p>
    <w:p>
      <w:pPr>
        <w:spacing w:after="100" w:before="280"/>
      </w:pPr>
      <w:r>
        <w:rPr>
          <w:rFonts w:ascii="Calibri" w:hAnsi="Calibri"/>
          <w:b/>
          <w:i w:val="0"/>
          <w:color w:val="1A1A1A"/>
          <w:sz w:val="28"/>
        </w:rPr>
        <w:t>3. Scope of work</w:t>
      </w:r>
    </w:p>
    <w:p>
      <w:pPr>
        <w:spacing w:after="120" w:before="0"/>
      </w:pPr>
      <w:r>
        <w:rPr>
          <w:rFonts w:ascii="Calibri" w:hAnsi="Calibri"/>
          <w:b w:val="0"/>
          <w:i w:val="0"/>
          <w:color w:val="2D2E32"/>
          <w:sz w:val="22"/>
        </w:rPr>
        <w:t>Check all that apply and describe current state for each.</w:t>
      </w:r>
    </w:p>
    <w:p>
      <w:pPr>
        <w:spacing w:after="80" w:before="200"/>
      </w:pPr>
      <w:r>
        <w:rPr>
          <w:rFonts w:ascii="Calibri" w:hAnsi="Calibri"/>
          <w:b/>
          <w:i w:val="0"/>
          <w:color w:val="1A1A1A"/>
          <w:sz w:val="23"/>
        </w:rPr>
        <w:t>3.1 Voice and unified communications</w:t>
      </w:r>
    </w:p>
    <w:p>
      <w:pPr>
        <w:pStyle w:val="ListBullet"/>
        <w:spacing w:after="60" w:before="0"/>
      </w:pPr>
      <w:r>
        <w:rPr>
          <w:rFonts w:ascii="Calibri" w:hAnsi="Calibri"/>
          <w:b w:val="0"/>
          <w:i w:val="0"/>
          <w:color w:val="2D2E32"/>
          <w:sz w:val="22"/>
        </w:rPr>
        <w:t>Hosted/cloud phone system or on-prem replacement</w:t>
      </w:r>
    </w:p>
    <w:p>
      <w:pPr>
        <w:pStyle w:val="ListBullet"/>
        <w:spacing w:after="60" w:before="0"/>
      </w:pPr>
      <w:r>
        <w:rPr>
          <w:rFonts w:ascii="Calibri" w:hAnsi="Calibri"/>
          <w:b w:val="0"/>
          <w:i w:val="0"/>
          <w:color w:val="2D2E32"/>
          <w:sz w:val="22"/>
        </w:rPr>
        <w:t>SIP trunking for an existing PBX</w:t>
      </w:r>
    </w:p>
    <w:p>
      <w:pPr>
        <w:pStyle w:val="ListBullet"/>
        <w:spacing w:after="60" w:before="0"/>
      </w:pPr>
      <w:r>
        <w:rPr>
          <w:rFonts w:ascii="Calibri" w:hAnsi="Calibri"/>
          <w:b w:val="0"/>
          <w:i w:val="0"/>
          <w:color w:val="2D2E32"/>
          <w:sz w:val="22"/>
        </w:rPr>
        <w:t>Number porting and call-flow design (auto attendants, queues, hours)</w:t>
      </w:r>
    </w:p>
    <w:p>
      <w:pPr>
        <w:pStyle w:val="ListBullet"/>
        <w:spacing w:after="60" w:before="0"/>
      </w:pPr>
      <w:r>
        <w:rPr>
          <w:rFonts w:ascii="Calibri" w:hAnsi="Calibri"/>
          <w:b w:val="0"/>
          <w:i w:val="0"/>
          <w:color w:val="2D2E32"/>
          <w:sz w:val="22"/>
        </w:rPr>
        <w:t>Mobile and desktop softphones, voicemail-to-email</w:t>
      </w:r>
    </w:p>
    <w:p>
      <w:pPr>
        <w:pStyle w:val="ListBullet"/>
        <w:spacing w:after="60" w:before="0"/>
      </w:pPr>
      <w:r>
        <w:rPr>
          <w:rFonts w:ascii="Calibri" w:hAnsi="Calibri"/>
          <w:b w:val="0"/>
          <w:i w:val="0"/>
          <w:color w:val="2D2E32"/>
          <w:sz w:val="22"/>
        </w:rPr>
        <w:t>POTS line replacement for fax, alarm, and elevator lines</w:t>
      </w:r>
    </w:p>
    <w:p>
      <w:pPr>
        <w:spacing w:after="80" w:before="200"/>
      </w:pPr>
      <w:r>
        <w:rPr>
          <w:rFonts w:ascii="Calibri" w:hAnsi="Calibri"/>
          <w:b/>
          <w:i w:val="0"/>
          <w:color w:val="1A1A1A"/>
          <w:sz w:val="23"/>
        </w:rPr>
        <w:t>3.2 Paging and mass notification</w:t>
      </w:r>
    </w:p>
    <w:p>
      <w:pPr>
        <w:pStyle w:val="ListBullet"/>
        <w:spacing w:after="60" w:before="0"/>
      </w:pPr>
      <w:r>
        <w:rPr>
          <w:rFonts w:ascii="Calibri" w:hAnsi="Calibri"/>
          <w:b w:val="0"/>
          <w:i w:val="0"/>
          <w:color w:val="2D2E32"/>
          <w:sz w:val="22"/>
        </w:rPr>
        <w:t>Overhead/IP paging coverage by zone (indoor and outdoor)</w:t>
      </w:r>
    </w:p>
    <w:p>
      <w:pPr>
        <w:pStyle w:val="ListBullet"/>
        <w:spacing w:after="60" w:before="0"/>
      </w:pPr>
      <w:r>
        <w:rPr>
          <w:rFonts w:ascii="Calibri" w:hAnsi="Calibri"/>
          <w:b w:val="0"/>
          <w:i w:val="0"/>
          <w:color w:val="2D2E32"/>
          <w:sz w:val="22"/>
        </w:rPr>
        <w:t>Bell schedules and intercom (schools)</w:t>
      </w:r>
    </w:p>
    <w:p>
      <w:pPr>
        <w:pStyle w:val="ListBullet"/>
        <w:spacing w:after="60" w:before="0"/>
      </w:pPr>
      <w:r>
        <w:rPr>
          <w:rFonts w:ascii="Calibri" w:hAnsi="Calibri"/>
          <w:b w:val="0"/>
          <w:i w:val="0"/>
          <w:color w:val="2D2E32"/>
          <w:sz w:val="22"/>
        </w:rPr>
        <w:t>Emergency mass notification across speakers, phones, screens, SMS, and email</w:t>
      </w:r>
    </w:p>
    <w:p>
      <w:pPr>
        <w:pStyle w:val="ListBullet"/>
        <w:spacing w:after="60" w:before="0"/>
      </w:pPr>
      <w:r>
        <w:rPr>
          <w:rFonts w:ascii="Calibri" w:hAnsi="Calibri"/>
          <w:b w:val="0"/>
          <w:i w:val="0"/>
          <w:color w:val="2D2E32"/>
          <w:sz w:val="22"/>
        </w:rPr>
        <w:t>Preset scenarios (lockdown, weather, evacuation, reunification)</w:t>
      </w:r>
    </w:p>
    <w:p>
      <w:pPr>
        <w:spacing w:after="80" w:before="200"/>
      </w:pPr>
      <w:r>
        <w:rPr>
          <w:rFonts w:ascii="Calibri" w:hAnsi="Calibri"/>
          <w:b/>
          <w:i w:val="0"/>
          <w:color w:val="1A1A1A"/>
          <w:sz w:val="23"/>
        </w:rPr>
        <w:t>3.3 Physical security</w:t>
      </w:r>
    </w:p>
    <w:p>
      <w:pPr>
        <w:pStyle w:val="ListBullet"/>
        <w:spacing w:after="60" w:before="0"/>
      </w:pPr>
      <w:r>
        <w:rPr>
          <w:rFonts w:ascii="Calibri" w:hAnsi="Calibri"/>
          <w:b w:val="0"/>
          <w:i w:val="0"/>
          <w:color w:val="2D2E32"/>
          <w:sz w:val="22"/>
        </w:rPr>
        <w:t>Access control (doors, credentials, scheduling, lockdown)</w:t>
      </w:r>
    </w:p>
    <w:p>
      <w:pPr>
        <w:pStyle w:val="ListBullet"/>
        <w:spacing w:after="60" w:before="0"/>
      </w:pPr>
      <w:r>
        <w:rPr>
          <w:rFonts w:ascii="Calibri" w:hAnsi="Calibri"/>
          <w:b w:val="0"/>
          <w:i w:val="0"/>
          <w:color w:val="2D2E32"/>
          <w:sz w:val="22"/>
        </w:rPr>
        <w:t>Cameras and video retention</w:t>
      </w:r>
    </w:p>
    <w:p>
      <w:pPr>
        <w:pStyle w:val="ListBullet"/>
        <w:spacing w:after="60" w:before="0"/>
      </w:pPr>
      <w:r>
        <w:rPr>
          <w:rFonts w:ascii="Calibri" w:hAnsi="Calibri"/>
          <w:b w:val="0"/>
          <w:i w:val="0"/>
          <w:color w:val="2D2E32"/>
          <w:sz w:val="22"/>
        </w:rPr>
        <w:t>Integration between access, cameras, paging, and phones</w:t>
      </w:r>
    </w:p>
    <w:p>
      <w:pPr>
        <w:spacing w:after="80" w:before="200"/>
      </w:pPr>
      <w:r>
        <w:rPr>
          <w:rFonts w:ascii="Calibri" w:hAnsi="Calibri"/>
          <w:b/>
          <w:i w:val="0"/>
          <w:color w:val="1A1A1A"/>
          <w:sz w:val="23"/>
        </w:rPr>
        <w:t>3.4 Network and cabling</w:t>
      </w:r>
    </w:p>
    <w:p>
      <w:pPr>
        <w:pStyle w:val="ListBullet"/>
        <w:spacing w:after="60" w:before="0"/>
      </w:pPr>
      <w:r>
        <w:rPr>
          <w:rFonts w:ascii="Calibri" w:hAnsi="Calibri"/>
          <w:b w:val="0"/>
          <w:i w:val="0"/>
          <w:color w:val="2D2E32"/>
          <w:sz w:val="22"/>
        </w:rPr>
        <w:t>Structured cabling, switching, and connectivity per site</w:t>
      </w:r>
    </w:p>
    <w:p>
      <w:pPr>
        <w:pStyle w:val="ListBullet"/>
        <w:spacing w:after="60" w:before="0"/>
      </w:pPr>
      <w:r>
        <w:rPr>
          <w:rFonts w:ascii="Calibri" w:hAnsi="Calibri"/>
          <w:b w:val="0"/>
          <w:i w:val="0"/>
          <w:color w:val="2D2E32"/>
          <w:sz w:val="22"/>
        </w:rPr>
        <w:t>Coverage for new locations or expansions</w:t>
      </w:r>
    </w:p>
    <w:p>
      <w:pPr>
        <w:spacing w:after="100" w:before="280"/>
      </w:pPr>
      <w:r>
        <w:rPr>
          <w:rFonts w:ascii="Calibri" w:hAnsi="Calibri"/>
          <w:b/>
          <w:i w:val="0"/>
          <w:color w:val="1A1A1A"/>
          <w:sz w:val="28"/>
        </w:rPr>
        <w:t>4. Compliance and life-safety requirements</w:t>
      </w:r>
    </w:p>
    <w:p>
      <w:pPr>
        <w:pStyle w:val="ListBullet"/>
        <w:spacing w:after="60" w:before="0"/>
      </w:pPr>
      <w:r>
        <w:rPr>
          <w:rFonts w:ascii="Calibri" w:hAnsi="Calibri"/>
          <w:b w:val="0"/>
          <w:i w:val="0"/>
          <w:color w:val="2D2E32"/>
          <w:sz w:val="22"/>
        </w:rPr>
        <w:t>Kari's Law: direct 911 dialing with no prefix and an on-site alert</w:t>
      </w:r>
    </w:p>
    <w:p>
      <w:pPr>
        <w:pStyle w:val="ListBullet"/>
        <w:spacing w:after="60" w:before="0"/>
      </w:pPr>
      <w:r>
        <w:rPr>
          <w:rFonts w:ascii="Calibri" w:hAnsi="Calibri"/>
          <w:b w:val="0"/>
          <w:i w:val="0"/>
          <w:color w:val="2D2E32"/>
          <w:sz w:val="22"/>
        </w:rPr>
        <w:t>Ray Baum's Act: dispatchable location to building and room</w:t>
      </w:r>
    </w:p>
    <w:p>
      <w:pPr>
        <w:pStyle w:val="ListBullet"/>
        <w:spacing w:after="60" w:before="0"/>
      </w:pPr>
      <w:r>
        <w:rPr>
          <w:rFonts w:ascii="Calibri" w:hAnsi="Calibri"/>
          <w:b w:val="0"/>
          <w:i w:val="0"/>
          <w:color w:val="2D2E32"/>
          <w:sz w:val="22"/>
        </w:rPr>
        <w:t>POTS replacement for life-safety lines meets or exceeds NFPA 72 and UL 864 and passes</w:t>
      </w:r>
    </w:p>
    <w:p>
      <w:pPr>
        <w:spacing w:after="120" w:before="0"/>
      </w:pPr>
      <w:r>
        <w:rPr>
          <w:rFonts w:ascii="Calibri" w:hAnsi="Calibri"/>
          <w:b w:val="0"/>
          <w:i w:val="0"/>
          <w:color w:val="2D2E32"/>
          <w:sz w:val="22"/>
        </w:rPr>
        <w:t>fire marshal inspection</w:t>
      </w:r>
    </w:p>
    <w:p>
      <w:pPr>
        <w:pStyle w:val="ListBullet"/>
        <w:spacing w:after="60" w:before="0"/>
      </w:pPr>
      <w:r>
        <w:rPr>
          <w:rFonts w:ascii="Calibri" w:hAnsi="Calibri"/>
          <w:b w:val="0"/>
          <w:i w:val="0"/>
          <w:color w:val="2D2E32"/>
          <w:sz w:val="22"/>
        </w:rPr>
        <w:t>FERPA handling of recordings and student data (K-12)</w:t>
      </w:r>
    </w:p>
    <w:p>
      <w:pPr>
        <w:pStyle w:val="ListBullet"/>
        <w:spacing w:after="60" w:before="0"/>
      </w:pPr>
      <w:r>
        <w:rPr>
          <w:rFonts w:ascii="Calibri" w:hAnsi="Calibri"/>
          <w:b w:val="0"/>
          <w:i w:val="0"/>
          <w:color w:val="2D2E32"/>
          <w:sz w:val="22"/>
        </w:rPr>
        <w:t>HIPAA handling and Business Associate Agreement (healthcare only)</w:t>
      </w:r>
    </w:p>
    <w:p>
      <w:pPr>
        <w:pStyle w:val="ListBullet"/>
        <w:spacing w:after="60" w:before="0"/>
      </w:pPr>
      <w:r>
        <w:rPr>
          <w:rFonts w:ascii="Calibri" w:hAnsi="Calibri"/>
          <w:b w:val="0"/>
          <w:i w:val="0"/>
          <w:color w:val="2D2E32"/>
          <w:sz w:val="22"/>
        </w:rPr>
        <w:t>Records retention and role-based access set by the organization (government)</w:t>
      </w:r>
    </w:p>
    <w:p>
      <w:pPr>
        <w:spacing w:after="100" w:before="280"/>
      </w:pPr>
      <w:r>
        <w:rPr>
          <w:rFonts w:ascii="Calibri" w:hAnsi="Calibri"/>
          <w:b/>
          <w:i w:val="0"/>
          <w:color w:val="1A1A1A"/>
          <w:sz w:val="28"/>
        </w:rPr>
        <w:t>5. Support and service levels</w:t>
      </w:r>
    </w:p>
    <w:p>
      <w:pPr>
        <w:pStyle w:val="ListBullet"/>
        <w:spacing w:after="60" w:before="0"/>
      </w:pPr>
      <w:r>
        <w:rPr>
          <w:rFonts w:ascii="Calibri" w:hAnsi="Calibri"/>
          <w:b w:val="0"/>
          <w:i w:val="0"/>
          <w:color w:val="2D2E32"/>
          <w:sz w:val="22"/>
        </w:rPr>
        <w:t xml:space="preserve">Support hours and after-hours/emergency coverage required: </w:t>
      </w:r>
      <w:r>
        <w:rPr>
          <w:rFonts w:ascii="Calibri" w:hAnsi="Calibri"/>
          <w:b w:val="0"/>
          <w:i/>
          <w:color w:val="3B3B3B"/>
          <w:sz w:val="22"/>
        </w:rPr>
        <w:t>[ ]</w:t>
      </w:r>
    </w:p>
    <w:p>
      <w:pPr>
        <w:pStyle w:val="ListBullet"/>
        <w:spacing w:after="60" w:before="0"/>
      </w:pPr>
      <w:r>
        <w:rPr>
          <w:rFonts w:ascii="Calibri" w:hAnsi="Calibri"/>
          <w:b w:val="0"/>
          <w:i w:val="0"/>
          <w:color w:val="2D2E32"/>
          <w:sz w:val="22"/>
        </w:rPr>
        <w:t xml:space="preserve">Location of support staff: </w:t>
      </w:r>
      <w:r>
        <w:rPr>
          <w:rFonts w:ascii="Calibri" w:hAnsi="Calibri"/>
          <w:b w:val="0"/>
          <w:i/>
          <w:color w:val="3B3B3B"/>
          <w:sz w:val="22"/>
        </w:rPr>
        <w:t>[ ]</w:t>
      </w:r>
    </w:p>
    <w:p>
      <w:pPr>
        <w:pStyle w:val="ListBullet"/>
        <w:spacing w:after="60" w:before="0"/>
      </w:pPr>
      <w:r>
        <w:rPr>
          <w:rFonts w:ascii="Calibri" w:hAnsi="Calibri"/>
          <w:b w:val="0"/>
          <w:i w:val="0"/>
          <w:color w:val="2D2E32"/>
          <w:sz w:val="22"/>
        </w:rPr>
        <w:t xml:space="preserve">Response and resolution targets: </w:t>
      </w:r>
      <w:r>
        <w:rPr>
          <w:rFonts w:ascii="Calibri" w:hAnsi="Calibri"/>
          <w:b w:val="0"/>
          <w:i/>
          <w:color w:val="3B3B3B"/>
          <w:sz w:val="22"/>
        </w:rPr>
        <w:t>[ ]</w:t>
      </w:r>
    </w:p>
    <w:p>
      <w:pPr>
        <w:pStyle w:val="ListBullet"/>
        <w:spacing w:after="60" w:before="0"/>
      </w:pPr>
      <w:r>
        <w:rPr>
          <w:rFonts w:ascii="Calibri" w:hAnsi="Calibri"/>
          <w:b w:val="0"/>
          <w:i w:val="0"/>
          <w:color w:val="2D2E32"/>
          <w:sz w:val="22"/>
        </w:rPr>
        <w:t xml:space="preserve">Remote vs. on-site service expectations: </w:t>
      </w:r>
      <w:r>
        <w:rPr>
          <w:rFonts w:ascii="Calibri" w:hAnsi="Calibri"/>
          <w:b w:val="0"/>
          <w:i/>
          <w:color w:val="3B3B3B"/>
          <w:sz w:val="22"/>
        </w:rPr>
        <w:t>[ ]</w:t>
      </w:r>
    </w:p>
    <w:p>
      <w:pPr>
        <w:pStyle w:val="ListBullet"/>
        <w:spacing w:after="60" w:before="0"/>
      </w:pPr>
      <w:r>
        <w:rPr>
          <w:rFonts w:ascii="Calibri" w:hAnsi="Calibri"/>
          <w:b w:val="0"/>
          <w:i w:val="0"/>
          <w:color w:val="2D2E32"/>
          <w:sz w:val="22"/>
        </w:rPr>
        <w:t xml:space="preserve">Training for staff and administrators: </w:t>
      </w:r>
      <w:r>
        <w:rPr>
          <w:rFonts w:ascii="Calibri" w:hAnsi="Calibri"/>
          <w:b w:val="0"/>
          <w:i/>
          <w:color w:val="3B3B3B"/>
          <w:sz w:val="22"/>
        </w:rPr>
        <w:t>[ ]</w:t>
      </w:r>
    </w:p>
    <w:p>
      <w:pPr>
        <w:spacing w:after="100" w:before="280"/>
      </w:pPr>
      <w:r>
        <w:rPr>
          <w:rFonts w:ascii="Calibri" w:hAnsi="Calibri"/>
          <w:b/>
          <w:i w:val="0"/>
          <w:color w:val="1A1A1A"/>
          <w:sz w:val="28"/>
        </w:rPr>
        <w:t>6. Implementation and cutover</w:t>
      </w:r>
    </w:p>
    <w:p>
      <w:pPr>
        <w:pStyle w:val="ListBullet"/>
        <w:spacing w:after="60" w:before="0"/>
      </w:pPr>
      <w:r>
        <w:rPr>
          <w:rFonts w:ascii="Calibri" w:hAnsi="Calibri"/>
          <w:b w:val="0"/>
          <w:i w:val="0"/>
          <w:color w:val="2D2E32"/>
          <w:sz w:val="22"/>
        </w:rPr>
        <w:t xml:space="preserve">Required timeline and any blackout dates (testing windows, school calendar): </w:t>
      </w:r>
      <w:r>
        <w:rPr>
          <w:rFonts w:ascii="Calibri" w:hAnsi="Calibri"/>
          <w:b w:val="0"/>
          <w:i/>
          <w:color w:val="3B3B3B"/>
          <w:sz w:val="22"/>
        </w:rPr>
        <w:t>[ ]</w:t>
      </w:r>
    </w:p>
    <w:p>
      <w:pPr>
        <w:pStyle w:val="ListBullet"/>
        <w:spacing w:after="60" w:before="0"/>
      </w:pPr>
      <w:r>
        <w:rPr>
          <w:rFonts w:ascii="Calibri" w:hAnsi="Calibri"/>
          <w:b w:val="0"/>
          <w:i w:val="0"/>
          <w:color w:val="2D2E32"/>
          <w:sz w:val="22"/>
        </w:rPr>
        <w:t xml:space="preserve">Migration of numbers, settings, and existing equipment to keep: </w:t>
      </w:r>
      <w:r>
        <w:rPr>
          <w:rFonts w:ascii="Calibri" w:hAnsi="Calibri"/>
          <w:b w:val="0"/>
          <w:i/>
          <w:color w:val="3B3B3B"/>
          <w:sz w:val="22"/>
        </w:rPr>
        <w:t>[ ]</w:t>
      </w:r>
    </w:p>
    <w:p>
      <w:pPr>
        <w:pStyle w:val="ListBullet"/>
        <w:spacing w:after="60" w:before="0"/>
      </w:pPr>
      <w:r>
        <w:rPr>
          <w:rFonts w:ascii="Calibri" w:hAnsi="Calibri"/>
          <w:b w:val="0"/>
          <w:i w:val="0"/>
          <w:color w:val="2D2E32"/>
          <w:sz w:val="22"/>
        </w:rPr>
        <w:t xml:space="preserve">Acceptance criteria and cutover plan: </w:t>
      </w:r>
      <w:r>
        <w:rPr>
          <w:rFonts w:ascii="Calibri" w:hAnsi="Calibri"/>
          <w:b w:val="0"/>
          <w:i/>
          <w:color w:val="3B3B3B"/>
          <w:sz w:val="22"/>
        </w:rPr>
        <w:t>[ ]</w:t>
      </w:r>
    </w:p>
    <w:p>
      <w:pPr>
        <w:spacing w:after="100" w:before="280"/>
      </w:pPr>
      <w:r>
        <w:rPr>
          <w:rFonts w:ascii="Calibri" w:hAnsi="Calibri"/>
          <w:b/>
          <w:i w:val="0"/>
          <w:color w:val="1A1A1A"/>
          <w:sz w:val="28"/>
        </w:rPr>
        <w:t>7. Pricing format</w:t>
      </w:r>
    </w:p>
    <w:p>
      <w:pPr>
        <w:pStyle w:val="ListBullet"/>
        <w:spacing w:after="60" w:before="0"/>
      </w:pPr>
      <w:r>
        <w:rPr>
          <w:rFonts w:ascii="Calibri" w:hAnsi="Calibri"/>
          <w:b w:val="0"/>
          <w:i w:val="0"/>
          <w:color w:val="2D2E32"/>
          <w:sz w:val="22"/>
        </w:rPr>
        <w:t>One-time (equipment, installation, cabling) itemized</w:t>
      </w:r>
    </w:p>
    <w:p>
      <w:pPr>
        <w:pStyle w:val="ListBullet"/>
        <w:spacing w:after="60" w:before="0"/>
      </w:pPr>
      <w:r>
        <w:rPr>
          <w:rFonts w:ascii="Calibri" w:hAnsi="Calibri"/>
          <w:b w:val="0"/>
          <w:i w:val="0"/>
          <w:color w:val="2D2E32"/>
          <w:sz w:val="22"/>
        </w:rPr>
        <w:t>Recurring (per seat, per site, support) itemized</w:t>
      </w:r>
    </w:p>
    <w:p>
      <w:pPr>
        <w:pStyle w:val="ListBullet"/>
        <w:spacing w:after="60" w:before="0"/>
      </w:pPr>
      <w:r>
        <w:rPr>
          <w:rFonts w:ascii="Calibri" w:hAnsi="Calibri"/>
          <w:b w:val="0"/>
          <w:i w:val="0"/>
          <w:color w:val="2D2E32"/>
          <w:sz w:val="22"/>
        </w:rPr>
        <w:t>Optional add-ons priced separately</w:t>
      </w:r>
    </w:p>
    <w:p>
      <w:pPr>
        <w:pStyle w:val="ListBullet"/>
        <w:spacing w:after="60" w:before="0"/>
      </w:pPr>
      <w:r>
        <w:rPr>
          <w:rFonts w:ascii="Calibri" w:hAnsi="Calibri"/>
          <w:b w:val="0"/>
          <w:i w:val="0"/>
          <w:color w:val="2D2E32"/>
          <w:sz w:val="22"/>
        </w:rPr>
        <w:t>Term length and renewal terms</w:t>
      </w:r>
    </w:p>
    <w:p>
      <w:pPr>
        <w:spacing w:after="100" w:before="280"/>
      </w:pPr>
      <w:r>
        <w:rPr>
          <w:rFonts w:ascii="Calibri" w:hAnsi="Calibri"/>
          <w:b/>
          <w:i w:val="0"/>
          <w:color w:val="1A1A1A"/>
          <w:sz w:val="28"/>
        </w:rPr>
        <w:t>8. Evaluation criteria (assign weights)</w:t>
      </w:r>
    </w:p>
    <w:p>
      <w:pPr>
        <w:pStyle w:val="ListBullet"/>
        <w:spacing w:after="60" w:before="0"/>
      </w:pPr>
      <w:r>
        <w:rPr>
          <w:rFonts w:ascii="Calibri" w:hAnsi="Calibri"/>
          <w:b w:val="0"/>
          <w:i w:val="0"/>
          <w:color w:val="2D2E32"/>
          <w:sz w:val="22"/>
        </w:rPr>
        <w:t xml:space="preserve">Responsiveness to scope and compliance: </w:t>
      </w:r>
      <w:r>
        <w:rPr>
          <w:rFonts w:ascii="Calibri" w:hAnsi="Calibri"/>
          <w:b w:val="0"/>
          <w:i/>
          <w:color w:val="3B3B3B"/>
          <w:sz w:val="22"/>
        </w:rPr>
        <w:t>[ %]</w:t>
      </w:r>
    </w:p>
    <w:p>
      <w:pPr>
        <w:pStyle w:val="ListBullet"/>
        <w:spacing w:after="60" w:before="0"/>
      </w:pPr>
      <w:r>
        <w:rPr>
          <w:rFonts w:ascii="Calibri" w:hAnsi="Calibri"/>
          <w:b w:val="0"/>
          <w:i w:val="0"/>
          <w:color w:val="2D2E32"/>
          <w:sz w:val="22"/>
        </w:rPr>
        <w:t xml:space="preserve">Total cost of ownership over the term: </w:t>
      </w:r>
      <w:r>
        <w:rPr>
          <w:rFonts w:ascii="Calibri" w:hAnsi="Calibri"/>
          <w:b w:val="0"/>
          <w:i/>
          <w:color w:val="3B3B3B"/>
          <w:sz w:val="22"/>
        </w:rPr>
        <w:t>[ %]</w:t>
      </w:r>
    </w:p>
    <w:p>
      <w:pPr>
        <w:pStyle w:val="ListBullet"/>
        <w:spacing w:after="60" w:before="0"/>
      </w:pPr>
      <w:r>
        <w:rPr>
          <w:rFonts w:ascii="Calibri" w:hAnsi="Calibri"/>
          <w:b w:val="0"/>
          <w:i w:val="0"/>
          <w:color w:val="2D2E32"/>
          <w:sz w:val="22"/>
        </w:rPr>
        <w:t xml:space="preserve">Support model and location: </w:t>
      </w:r>
      <w:r>
        <w:rPr>
          <w:rFonts w:ascii="Calibri" w:hAnsi="Calibri"/>
          <w:b w:val="0"/>
          <w:i/>
          <w:color w:val="3B3B3B"/>
          <w:sz w:val="22"/>
        </w:rPr>
        <w:t>[ %]</w:t>
      </w:r>
    </w:p>
    <w:p>
      <w:pPr>
        <w:pStyle w:val="ListBullet"/>
        <w:spacing w:after="60" w:before="0"/>
      </w:pPr>
      <w:r>
        <w:rPr>
          <w:rFonts w:ascii="Calibri" w:hAnsi="Calibri"/>
          <w:b w:val="0"/>
          <w:i w:val="0"/>
          <w:color w:val="2D2E32"/>
          <w:sz w:val="22"/>
        </w:rPr>
        <w:t xml:space="preserve">Experience with similar organizations and references: </w:t>
      </w:r>
      <w:r>
        <w:rPr>
          <w:rFonts w:ascii="Calibri" w:hAnsi="Calibri"/>
          <w:b w:val="0"/>
          <w:i/>
          <w:color w:val="3B3B3B"/>
          <w:sz w:val="22"/>
        </w:rPr>
        <w:t>[ %]</w:t>
      </w:r>
    </w:p>
    <w:p>
      <w:pPr>
        <w:pStyle w:val="ListBullet"/>
        <w:spacing w:after="60" w:before="0"/>
      </w:pPr>
      <w:r>
        <w:rPr>
          <w:rFonts w:ascii="Calibri" w:hAnsi="Calibri"/>
          <w:b w:val="0"/>
          <w:i w:val="0"/>
          <w:color w:val="2D2E32"/>
          <w:sz w:val="22"/>
        </w:rPr>
        <w:t xml:space="preserve">Implementation plan and risk: </w:t>
      </w:r>
      <w:r>
        <w:rPr>
          <w:rFonts w:ascii="Calibri" w:hAnsi="Calibri"/>
          <w:b w:val="0"/>
          <w:i/>
          <w:color w:val="3B3B3B"/>
          <w:sz w:val="22"/>
        </w:rPr>
        <w:t>[ %]</w:t>
      </w:r>
    </w:p>
    <w:p>
      <w:pPr>
        <w:spacing w:after="100" w:before="280"/>
      </w:pPr>
      <w:r>
        <w:rPr>
          <w:rFonts w:ascii="Calibri" w:hAnsi="Calibri"/>
          <w:b/>
          <w:i w:val="0"/>
          <w:color w:val="1A1A1A"/>
          <w:sz w:val="28"/>
        </w:rPr>
        <w:t>9. Vendor qualifications and references</w:t>
      </w:r>
    </w:p>
    <w:p>
      <w:pPr>
        <w:pStyle w:val="ListBullet"/>
        <w:spacing w:after="60" w:before="0"/>
      </w:pPr>
      <w:r>
        <w:rPr>
          <w:rFonts w:ascii="Calibri" w:hAnsi="Calibri"/>
          <w:b w:val="0"/>
          <w:i w:val="0"/>
          <w:color w:val="2D2E32"/>
          <w:sz w:val="22"/>
        </w:rPr>
        <w:t>Years in business and relevant project experience</w:t>
      </w:r>
    </w:p>
    <w:p>
      <w:pPr>
        <w:pStyle w:val="ListBullet"/>
        <w:spacing w:after="60" w:before="0"/>
      </w:pPr>
      <w:r>
        <w:rPr>
          <w:rFonts w:ascii="Calibri" w:hAnsi="Calibri"/>
          <w:b w:val="0"/>
          <w:i w:val="0"/>
          <w:color w:val="2D2E32"/>
          <w:sz w:val="22"/>
        </w:rPr>
        <w:t xml:space="preserve">At least </w:t>
      </w:r>
      <w:r>
        <w:rPr>
          <w:rFonts w:ascii="Calibri" w:hAnsi="Calibri"/>
          <w:b w:val="0"/>
          <w:i/>
          <w:color w:val="3B3B3B"/>
          <w:sz w:val="22"/>
        </w:rPr>
        <w:t>[3]</w:t>
      </w:r>
      <w:r>
        <w:rPr>
          <w:rFonts w:ascii="Calibri" w:hAnsi="Calibri"/>
          <w:b w:val="0"/>
          <w:i w:val="0"/>
          <w:color w:val="2D2E32"/>
          <w:sz w:val="22"/>
        </w:rPr>
        <w:t xml:space="preserve"> references from comparable organizations</w:t>
      </w:r>
    </w:p>
    <w:p>
      <w:pPr>
        <w:pStyle w:val="ListBullet"/>
        <w:spacing w:after="60" w:before="0"/>
      </w:pPr>
      <w:r>
        <w:rPr>
          <w:rFonts w:ascii="Calibri" w:hAnsi="Calibri"/>
          <w:b w:val="0"/>
          <w:i w:val="0"/>
          <w:color w:val="2D2E32"/>
          <w:sz w:val="22"/>
        </w:rPr>
        <w:t>Proof of insurance, licensing, and any required certifications</w:t>
      </w:r>
    </w:p>
    <w:p>
      <w:pPr>
        <w:spacing w:after="100" w:before="280"/>
      </w:pPr>
      <w:r>
        <w:rPr>
          <w:rFonts w:ascii="Calibri" w:hAnsi="Calibri"/>
          <w:b/>
          <w:i w:val="0"/>
          <w:color w:val="1A1A1A"/>
          <w:sz w:val="28"/>
        </w:rPr>
        <w:t>10. Submission checklist</w:t>
      </w:r>
    </w:p>
    <w:p>
      <w:pPr>
        <w:pStyle w:val="ListBullet"/>
        <w:spacing w:after="60" w:before="0"/>
      </w:pPr>
      <w:r>
        <w:rPr>
          <w:rFonts w:ascii="Calibri" w:hAnsi="Calibri"/>
          <w:b w:val="0"/>
          <w:i w:val="0"/>
          <w:color w:val="2D2E32"/>
          <w:sz w:val="22"/>
        </w:rPr>
        <w:t>Completed response to each scope and compliance item</w:t>
      </w:r>
    </w:p>
    <w:p>
      <w:pPr>
        <w:pStyle w:val="ListBullet"/>
        <w:spacing w:after="60" w:before="0"/>
      </w:pPr>
      <w:r>
        <w:rPr>
          <w:rFonts w:ascii="Calibri" w:hAnsi="Calibri"/>
          <w:b w:val="0"/>
          <w:i w:val="0"/>
          <w:color w:val="2D2E32"/>
          <w:sz w:val="22"/>
        </w:rPr>
        <w:t>Itemized pricing in the format above</w:t>
      </w:r>
    </w:p>
    <w:p>
      <w:pPr>
        <w:pStyle w:val="ListBullet"/>
        <w:spacing w:after="60" w:before="0"/>
      </w:pPr>
      <w:r>
        <w:rPr>
          <w:rFonts w:ascii="Calibri" w:hAnsi="Calibri"/>
          <w:b w:val="0"/>
          <w:i w:val="0"/>
          <w:color w:val="2D2E32"/>
          <w:sz w:val="22"/>
        </w:rPr>
        <w:t>Implementation plan and timeline</w:t>
      </w:r>
    </w:p>
    <w:p>
      <w:pPr>
        <w:pStyle w:val="ListBullet"/>
        <w:spacing w:after="60" w:before="0"/>
      </w:pPr>
      <w:r>
        <w:rPr>
          <w:rFonts w:ascii="Calibri" w:hAnsi="Calibri"/>
          <w:b w:val="0"/>
          <w:i w:val="0"/>
          <w:color w:val="2D2E32"/>
          <w:sz w:val="22"/>
        </w:rPr>
        <w:t>References and qualifications</w:t>
      </w:r>
    </w:p>
    <w:p>
      <w:pPr>
        <w:pStyle w:val="ListBullet"/>
        <w:spacing w:after="60" w:before="0"/>
      </w:pPr>
      <w:r>
        <w:rPr>
          <w:rFonts w:ascii="Calibri" w:hAnsi="Calibri"/>
          <w:b w:val="0"/>
          <w:i w:val="0"/>
          <w:color w:val="2D2E32"/>
          <w:sz w:val="22"/>
        </w:rPr>
        <w:t>Any exceptions clearly noted</w:t>
      </w:r>
    </w:p>
    <w:sectPr w:rsidR="00FC693F" w:rsidRPr="0006063C" w:rsidSect="00034616">
      <w:footerReference w:type="default" r:id="rId9"/>
      <w:pgSz w:w="12240" w:h="15840"/>
      <w:pgMar w:top="1152" w:right="1296" w:bottom="1152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Calibri" w:hAnsi="Calibri"/>
        <w:color w:val="3B3B3B"/>
        <w:sz w:val="16"/>
      </w:rPr>
      <w:t>Template provided by True IP Solutions  |  855-878-8477  |  trueipsolutions.com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Voice, Security and Paging RFP Requirements Template</dc:title>
  <dc:subject/>
  <dc:creator>True IP Solutions</dc:creator>
  <cp:keywords/>
  <dc:description>Editable RFP requirements template for schools, government, and multi-site organizations. Edit the bracketed prompts.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